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13" w:rsidRDefault="005D4613" w:rsidP="005D461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03439">
        <w:rPr>
          <w:rFonts w:ascii="Times New Roman" w:hAnsi="Times New Roman"/>
          <w:b/>
          <w:bCs/>
          <w:sz w:val="24"/>
          <w:szCs w:val="24"/>
        </w:rPr>
        <w:t>САЧУВАЈМО НАШУ ПЛАНЕТУ</w:t>
      </w:r>
    </w:p>
    <w:p w:rsidR="005D4613" w:rsidRPr="006222B0" w:rsidRDefault="005D4613" w:rsidP="005D461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3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77"/>
        <w:gridCol w:w="2245"/>
        <w:gridCol w:w="9302"/>
      </w:tblGrid>
      <w:tr w:rsidR="005D4613" w:rsidRPr="00887F69" w:rsidTr="003F46BB">
        <w:trPr>
          <w:trHeight w:val="459"/>
        </w:trPr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b/>
                <w:sz w:val="24"/>
                <w:szCs w:val="24"/>
              </w:rPr>
              <w:t>ФОНД ЧАСОВА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F69">
              <w:rPr>
                <w:rFonts w:ascii="Times New Roman" w:hAnsi="Times New Roman"/>
                <w:b/>
                <w:sz w:val="24"/>
                <w:szCs w:val="24"/>
              </w:rPr>
              <w:t>недељно</w:t>
            </w:r>
            <w:proofErr w:type="spellEnd"/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4613" w:rsidRPr="00887F69" w:rsidTr="003F46BB">
        <w:trPr>
          <w:trHeight w:val="474"/>
        </w:trPr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F69">
              <w:rPr>
                <w:rFonts w:ascii="Times New Roman" w:hAnsi="Times New Roman"/>
                <w:b/>
                <w:sz w:val="24"/>
                <w:szCs w:val="24"/>
              </w:rPr>
              <w:t>годишње</w:t>
            </w:r>
            <w:proofErr w:type="spellEnd"/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5D4613" w:rsidRPr="00887F69" w:rsidTr="003F46BB">
        <w:trPr>
          <w:trHeight w:val="520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b/>
                <w:sz w:val="24"/>
                <w:szCs w:val="24"/>
              </w:rPr>
              <w:t>ЦИЉ</w:t>
            </w:r>
          </w:p>
        </w:tc>
        <w:tc>
          <w:tcPr>
            <w:tcW w:w="1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3439">
              <w:rPr>
                <w:rFonts w:ascii="Times New Roman" w:hAnsi="Times New Roman"/>
                <w:b/>
                <w:bCs/>
                <w:sz w:val="24"/>
                <w:szCs w:val="24"/>
              </w:rPr>
              <w:t>Циљ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учења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слободне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наставне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активности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Сачувајмо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нашу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планету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јесте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развијање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функционалне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писмености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области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заштите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животне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средине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разумевање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односа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човек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природа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циљем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бољег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схватања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света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окружује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лакше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сналажење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природном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социјалном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окружењу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формирање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одговорног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активног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појединца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циљу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разумевања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примене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концепта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одрживог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развоја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D4613" w:rsidRPr="003352A8" w:rsidRDefault="005D4613" w:rsidP="005D4613">
      <w:pPr>
        <w:rPr>
          <w:rFonts w:ascii="Times New Roman" w:hAnsi="Times New Roman"/>
          <w:sz w:val="24"/>
          <w:szCs w:val="24"/>
        </w:rPr>
      </w:pPr>
    </w:p>
    <w:tbl>
      <w:tblPr>
        <w:tblW w:w="14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5513"/>
        <w:gridCol w:w="3045"/>
        <w:gridCol w:w="3281"/>
      </w:tblGrid>
      <w:tr w:rsidR="005D4613" w:rsidRPr="00887F69" w:rsidTr="003F46B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b/>
                <w:sz w:val="24"/>
                <w:szCs w:val="24"/>
              </w:rPr>
              <w:t>ОБЛАСТ/ТЕМА</w:t>
            </w:r>
          </w:p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b/>
                <w:sz w:val="24"/>
                <w:szCs w:val="24"/>
              </w:rPr>
              <w:t>ИСХОДИ</w:t>
            </w:r>
          </w:p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F6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887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F69">
              <w:rPr>
                <w:rFonts w:ascii="Times New Roman" w:hAnsi="Times New Roman"/>
                <w:sz w:val="24"/>
                <w:szCs w:val="24"/>
              </w:rPr>
              <w:t>завршеној</w:t>
            </w:r>
            <w:proofErr w:type="spellEnd"/>
            <w:r w:rsidRPr="00887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F69">
              <w:rPr>
                <w:rFonts w:ascii="Times New Roman" w:hAnsi="Times New Roman"/>
                <w:sz w:val="24"/>
                <w:szCs w:val="24"/>
              </w:rPr>
              <w:t>области</w:t>
            </w:r>
            <w:proofErr w:type="spellEnd"/>
            <w:r w:rsidRPr="00887F6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87F69">
              <w:rPr>
                <w:rFonts w:ascii="Times New Roman" w:hAnsi="Times New Roman"/>
                <w:sz w:val="24"/>
                <w:szCs w:val="24"/>
              </w:rPr>
              <w:t>теми</w:t>
            </w:r>
            <w:proofErr w:type="spellEnd"/>
            <w:r w:rsidRPr="00887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F69">
              <w:rPr>
                <w:rFonts w:ascii="Times New Roman" w:hAnsi="Times New Roman"/>
                <w:sz w:val="24"/>
                <w:szCs w:val="24"/>
              </w:rPr>
              <w:t>ученик</w:t>
            </w:r>
            <w:proofErr w:type="spellEnd"/>
            <w:r w:rsidRPr="00887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F69">
              <w:rPr>
                <w:rFonts w:ascii="Times New Roman" w:hAnsi="Times New Roman"/>
                <w:sz w:val="24"/>
                <w:szCs w:val="24"/>
              </w:rPr>
              <w:t>ће</w:t>
            </w:r>
            <w:proofErr w:type="spellEnd"/>
            <w:r w:rsidRPr="00887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F69">
              <w:rPr>
                <w:rFonts w:ascii="Times New Roman" w:hAnsi="Times New Roman"/>
                <w:sz w:val="24"/>
                <w:szCs w:val="24"/>
              </w:rPr>
              <w:t>бити</w:t>
            </w:r>
            <w:proofErr w:type="spellEnd"/>
            <w:r w:rsidRPr="00887F69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887F69">
              <w:rPr>
                <w:rFonts w:ascii="Times New Roman" w:hAnsi="Times New Roman"/>
                <w:sz w:val="24"/>
                <w:szCs w:val="24"/>
              </w:rPr>
              <w:t>стању</w:t>
            </w:r>
            <w:proofErr w:type="spellEnd"/>
            <w:r w:rsidRPr="00887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F69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887F6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b/>
                <w:sz w:val="24"/>
                <w:szCs w:val="24"/>
              </w:rPr>
              <w:t>САДРЖАЈИ ПРОГРАМА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b/>
                <w:sz w:val="24"/>
                <w:szCs w:val="24"/>
              </w:rPr>
              <w:t>НАЧИНИ И ПОСТУПЦИ ЗА ОСТВАРИВАЊЕ ПРОГРАМА</w:t>
            </w:r>
          </w:p>
        </w:tc>
      </w:tr>
      <w:tr w:rsidR="005D4613" w:rsidRPr="00887F69" w:rsidTr="003F46B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E659CD">
              <w:rPr>
                <w:rFonts w:ascii="Times New Roman" w:hAnsi="Times New Roman"/>
                <w:b/>
                <w:bCs/>
                <w:sz w:val="24"/>
                <w:szCs w:val="24"/>
              </w:rPr>
              <w:t>ПОЛОЖАЈ И УЛОГА ЧОВЕКА У ПРИРОДИ</w:t>
            </w:r>
          </w:p>
          <w:p w:rsidR="005D4613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4613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4613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4613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4613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4613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4613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E659CD">
              <w:rPr>
                <w:rFonts w:ascii="Times New Roman" w:hAnsi="Times New Roman"/>
                <w:b/>
                <w:bCs/>
                <w:sz w:val="24"/>
                <w:szCs w:val="24"/>
              </w:rPr>
              <w:t>ПРИРОДНА БОГАТСТВА (РЕСУРСИ) И ОДРЖИВО КОРИШЋЕЊЕ</w:t>
            </w:r>
          </w:p>
          <w:p w:rsidR="005D4613" w:rsidRPr="001D306E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E659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наведе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основне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појмове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животној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средини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E659C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наведе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примере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утицаја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човека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животну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средину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E659C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уочи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узрочно-последичне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везе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односе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релацији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човек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животна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средина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E659C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препозна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проблеме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локалној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средини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основу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концепта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одрживог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развоја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613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E659C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активно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одговорно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управља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решава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интегративне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пројектне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задатке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613" w:rsidRPr="001D306E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E659C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повезује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хоризонтално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вертикално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знања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одрживом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коришћењу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ресурса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користи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холистички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приступ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решавању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проблема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одрживог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развоја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E659C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развија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ставове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вредности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очувању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животне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средине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кроз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решавање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проблема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локалитету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E659C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емоционално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реагује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проблеме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локалног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окружења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E659C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схвати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разуме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поделу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значај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природних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ресурса</w:t>
            </w:r>
            <w:proofErr w:type="spellEnd"/>
          </w:p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E659C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разликује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обновљиве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необновљивих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природних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ресурса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E659C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препозна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наводи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примере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обновљивих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необновљивих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природних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ресурса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E659C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критички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односи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према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нерационалном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коришћењу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необновљивих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природних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ресурса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lastRenderedPageBreak/>
              <w:t>Основни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појмови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области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животне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средине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Утицај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човека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животну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средину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Концепт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одрживог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развоја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613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Спровођење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акција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заштити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очувању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животне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средине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мали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пројекти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D4613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4613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Природни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ресурси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богатства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) –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дефиниција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подела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значај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Обновљиви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необновљиви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природни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ресурси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Жива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бића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као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природни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ресурс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мали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пројекти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D4613" w:rsidRPr="001D306E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Одрживо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коришћење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ресурса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4613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lastRenderedPageBreak/>
              <w:t>За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сваку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тему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наставник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треба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припреми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што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више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различитих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материјала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имају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функцију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подстицаја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мотивисања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ученика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рад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њима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Поред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материјала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филмови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слике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приче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новински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текстови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...),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могу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бити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гостовања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стручњака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дату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област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посета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установама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Избор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подстицаја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треба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одговара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lastRenderedPageBreak/>
              <w:t>теми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узрасту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ученика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њиховим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интересовањима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Програм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базира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коришћењу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уџбеника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дидактичких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материјала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специјализовано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њих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направљени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већ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ученици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подстичу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користе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што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различитије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изворе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информација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имају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према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њима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критички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однос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Циљ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оснажити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ученике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развијају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своје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компетенције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раду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439">
              <w:rPr>
                <w:rFonts w:ascii="Times New Roman" w:hAnsi="Times New Roman"/>
                <w:sz w:val="24"/>
                <w:szCs w:val="24"/>
              </w:rPr>
              <w:t>подацима</w:t>
            </w:r>
            <w:proofErr w:type="spellEnd"/>
            <w:r w:rsidRPr="008034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613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4613" w:rsidRPr="00F832DC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ИКТ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настави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користити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различите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информација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презентације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филмове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израду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плаката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табела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узраду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графикона</w:t>
            </w:r>
            <w:proofErr w:type="spellEnd"/>
          </w:p>
        </w:tc>
      </w:tr>
      <w:tr w:rsidR="005D4613" w:rsidRPr="00887F69" w:rsidTr="003F46B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E659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ИЗВОРИ И ПОСЛЕДИЦЕ ЗАГАЂИВАЊА ЖИВОТНЕ СРЕДИНЕ</w:t>
            </w:r>
          </w:p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E659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наведе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изворе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последице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загађења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природне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средине</w:t>
            </w:r>
            <w:proofErr w:type="spellEnd"/>
          </w:p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E659C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разликује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изворе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врсте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загађења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E659C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анализира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различитих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углова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утицај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загађења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живи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свет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E659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разврстава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изворе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загађења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E659C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истражи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изворе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загађења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локалној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средини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E659C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наведе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примере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последица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стварања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озонских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рупа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других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глобалних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проблема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животну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средину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E659C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уочава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узрочно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последичне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везе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између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глобалних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локалних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проблема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загађења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очувања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природне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средине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E659C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уочи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повезаност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природних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социјалних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економских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фактора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очувању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животне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средине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E659C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креира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решења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смањење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загађења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отпада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оквиру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пројеката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E659C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користи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методе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алате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истраживања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терену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613" w:rsidRPr="001D306E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E659C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прикупља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податке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различитих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извора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уз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критичко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сагледавање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доношење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закључка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lastRenderedPageBreak/>
              <w:t>Појам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извори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врсте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загађивања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Глобалне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промене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глобалне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последице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Озонске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рупе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последице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lastRenderedPageBreak/>
              <w:t>на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животну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средину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Смањење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загађења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отпада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613" w:rsidRPr="00887F69" w:rsidTr="003F46B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E659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БИОДИВЕРЗИТЕТ И ГЕОДИВЕРЗИТЕТ</w:t>
            </w:r>
          </w:p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E659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разликује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биодиверзитет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геодиверзитета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E659C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идентификује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објашњава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факторе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доводе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угрожавања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биодиверзитета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геодиверзитета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E659C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процењује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негативан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утицај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појединих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фактора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биодиверзитет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геодиверзитет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локалној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средини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E659C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наводи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примере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заштите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биодиверзитета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lastRenderedPageBreak/>
              <w:t>геодиверзитета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E659C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креира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истраживачке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задатке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E659C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користи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ИКТ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приликом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прикупљања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информација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представљања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резултата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истраживања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геодиверзитету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биодиверзитету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E659C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тиму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размењује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мишљење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учествује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акцијама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очувања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животне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средине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E659C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Pr="00E659CD">
              <w:rPr>
                <w:rFonts w:ascii="Times New Roman" w:hAnsi="Times New Roman"/>
                <w:sz w:val="24"/>
                <w:szCs w:val="24"/>
              </w:rPr>
              <w:t>објашњава</w:t>
            </w:r>
            <w:proofErr w:type="spellEnd"/>
            <w:proofErr w:type="gram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резултате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истраживања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повезаности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геодиверзитета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биодиверзитета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lastRenderedPageBreak/>
              <w:t>Дефиниција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биодиверзитета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геодиверзитета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Угрожавање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биодиверзитета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геодиверзитета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613" w:rsidRPr="00E659CD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Заштита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t>биодиверзитета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59CD">
              <w:rPr>
                <w:rFonts w:ascii="Times New Roman" w:hAnsi="Times New Roman"/>
                <w:sz w:val="24"/>
                <w:szCs w:val="24"/>
              </w:rPr>
              <w:lastRenderedPageBreak/>
              <w:t>геодиверзитета</w:t>
            </w:r>
            <w:proofErr w:type="spellEnd"/>
            <w:r w:rsidRPr="00E659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4613" w:rsidRPr="003352A8" w:rsidRDefault="005D4613" w:rsidP="005D4613">
      <w:pPr>
        <w:rPr>
          <w:rFonts w:ascii="Times New Roman" w:hAnsi="Times New Roman"/>
          <w:b/>
          <w:sz w:val="24"/>
          <w:szCs w:val="24"/>
        </w:rPr>
      </w:pPr>
    </w:p>
    <w:p w:rsidR="005D4613" w:rsidRPr="003352A8" w:rsidRDefault="005D4613" w:rsidP="005D4613">
      <w:pPr>
        <w:rPr>
          <w:rFonts w:ascii="Times New Roman" w:hAnsi="Times New Roman"/>
          <w:sz w:val="24"/>
          <w:szCs w:val="24"/>
        </w:rPr>
      </w:pPr>
    </w:p>
    <w:p w:rsidR="005D4613" w:rsidRPr="003352A8" w:rsidRDefault="005D4613" w:rsidP="005D4613">
      <w:pPr>
        <w:rPr>
          <w:rFonts w:ascii="Times New Roman" w:hAnsi="Times New Roman"/>
          <w:sz w:val="24"/>
          <w:szCs w:val="24"/>
        </w:rPr>
      </w:pPr>
    </w:p>
    <w:p w:rsidR="005D4613" w:rsidRPr="003352A8" w:rsidRDefault="005D4613" w:rsidP="005D4613">
      <w:pPr>
        <w:rPr>
          <w:rFonts w:ascii="Times New Roman" w:hAnsi="Times New Roman"/>
          <w:sz w:val="24"/>
          <w:szCs w:val="24"/>
        </w:rPr>
      </w:pPr>
      <w:r w:rsidRPr="003352A8">
        <w:rPr>
          <w:rFonts w:ascii="Times New Roman" w:hAnsi="Times New Roman"/>
          <w:b/>
          <w:sz w:val="24"/>
          <w:szCs w:val="24"/>
        </w:rPr>
        <w:t>ГЛОБАЛНИ (ГОДИШЊИ) ПЛАН ПО МЕСЕЦИМА</w:t>
      </w:r>
    </w:p>
    <w:p w:rsidR="005D4613" w:rsidRPr="003352A8" w:rsidRDefault="005D4613" w:rsidP="005D4613">
      <w:pPr>
        <w:rPr>
          <w:rFonts w:ascii="Times New Roman" w:hAnsi="Times New Roman"/>
          <w:sz w:val="24"/>
          <w:szCs w:val="24"/>
        </w:rPr>
      </w:pPr>
    </w:p>
    <w:tbl>
      <w:tblPr>
        <w:tblW w:w="14610" w:type="dxa"/>
        <w:jc w:val="center"/>
        <w:tblLayout w:type="fixed"/>
        <w:tblLook w:val="04A0"/>
      </w:tblPr>
      <w:tblGrid>
        <w:gridCol w:w="422"/>
        <w:gridCol w:w="3659"/>
        <w:gridCol w:w="647"/>
        <w:gridCol w:w="537"/>
        <w:gridCol w:w="556"/>
        <w:gridCol w:w="673"/>
        <w:gridCol w:w="513"/>
        <w:gridCol w:w="601"/>
        <w:gridCol w:w="551"/>
        <w:gridCol w:w="647"/>
        <w:gridCol w:w="447"/>
        <w:gridCol w:w="647"/>
        <w:gridCol w:w="1164"/>
        <w:gridCol w:w="1060"/>
        <w:gridCol w:w="1304"/>
        <w:gridCol w:w="1182"/>
      </w:tblGrid>
      <w:tr w:rsidR="005D4613" w:rsidRPr="00887F69" w:rsidTr="003F46BB">
        <w:trPr>
          <w:trHeight w:val="499"/>
          <w:jc w:val="center"/>
        </w:trPr>
        <w:tc>
          <w:tcPr>
            <w:tcW w:w="4081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b/>
                <w:sz w:val="24"/>
                <w:szCs w:val="24"/>
              </w:rPr>
              <w:t>ОБЛАСТ</w:t>
            </w:r>
          </w:p>
        </w:tc>
        <w:tc>
          <w:tcPr>
            <w:tcW w:w="5819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b/>
                <w:sz w:val="24"/>
                <w:szCs w:val="24"/>
              </w:rPr>
              <w:t>МЕСЕЦ</w:t>
            </w:r>
          </w:p>
        </w:tc>
        <w:tc>
          <w:tcPr>
            <w:tcW w:w="116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b/>
                <w:sz w:val="24"/>
                <w:szCs w:val="24"/>
              </w:rPr>
              <w:t>ОБРАДА</w:t>
            </w:r>
          </w:p>
        </w:tc>
        <w:tc>
          <w:tcPr>
            <w:tcW w:w="106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b/>
                <w:sz w:val="24"/>
                <w:szCs w:val="24"/>
              </w:rPr>
              <w:t>УТВРЂ.</w:t>
            </w:r>
          </w:p>
        </w:tc>
        <w:tc>
          <w:tcPr>
            <w:tcW w:w="130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b/>
                <w:sz w:val="24"/>
                <w:szCs w:val="24"/>
              </w:rPr>
              <w:t>ОСТАЛО</w:t>
            </w:r>
          </w:p>
        </w:tc>
        <w:tc>
          <w:tcPr>
            <w:tcW w:w="1182" w:type="dxa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b/>
                <w:sz w:val="24"/>
                <w:szCs w:val="24"/>
              </w:rPr>
              <w:t>СВЕГА</w:t>
            </w:r>
          </w:p>
        </w:tc>
      </w:tr>
      <w:tr w:rsidR="005D4613" w:rsidRPr="00887F69" w:rsidTr="003F46BB">
        <w:trPr>
          <w:trHeight w:val="540"/>
          <w:jc w:val="center"/>
        </w:trPr>
        <w:tc>
          <w:tcPr>
            <w:tcW w:w="4081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b/>
                <w:sz w:val="24"/>
                <w:szCs w:val="24"/>
              </w:rPr>
              <w:t>IX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b/>
                <w:sz w:val="24"/>
                <w:szCs w:val="24"/>
              </w:rPr>
              <w:t>XI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b/>
                <w:sz w:val="24"/>
                <w:szCs w:val="24"/>
              </w:rPr>
              <w:t>XII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b/>
                <w:sz w:val="24"/>
                <w:szCs w:val="24"/>
              </w:rPr>
              <w:t>VI</w:t>
            </w:r>
          </w:p>
        </w:tc>
        <w:tc>
          <w:tcPr>
            <w:tcW w:w="116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613" w:rsidRPr="00887F69" w:rsidTr="003F46BB">
        <w:trPr>
          <w:trHeight w:val="499"/>
          <w:jc w:val="center"/>
        </w:trPr>
        <w:tc>
          <w:tcPr>
            <w:tcW w:w="42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5D4613" w:rsidRPr="00F832DC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Положај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човека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природи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5D4613" w:rsidRPr="00F832DC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4613" w:rsidRPr="00F832DC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4613" w:rsidRPr="00F832DC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5D4613" w:rsidRPr="00F832DC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5D4613" w:rsidRPr="00F832DC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999999"/>
              <w:left w:val="nil"/>
              <w:bottom w:val="single" w:sz="4" w:space="0" w:color="808080"/>
              <w:right w:val="single" w:sz="4" w:space="0" w:color="808080"/>
            </w:tcBorders>
          </w:tcPr>
          <w:p w:rsidR="005D4613" w:rsidRPr="00F832DC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D4613" w:rsidRPr="00887F69" w:rsidTr="003F46BB">
        <w:trPr>
          <w:trHeight w:val="499"/>
          <w:jc w:val="center"/>
        </w:trPr>
        <w:tc>
          <w:tcPr>
            <w:tcW w:w="42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5D4613" w:rsidRPr="00F832DC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богатства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одрживо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коришћење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4613" w:rsidRPr="00F832DC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4613" w:rsidRPr="00F832DC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87F6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5D4613" w:rsidRPr="00F832DC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5D4613" w:rsidRPr="00F832DC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5D4613" w:rsidRPr="00F832DC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D4613" w:rsidRPr="00887F69" w:rsidTr="003F46BB">
        <w:trPr>
          <w:trHeight w:val="499"/>
          <w:jc w:val="center"/>
        </w:trPr>
        <w:tc>
          <w:tcPr>
            <w:tcW w:w="42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5D4613" w:rsidRPr="00F832DC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последице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загађивања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животне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средине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4613" w:rsidRPr="00F832DC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4613" w:rsidRPr="00F832DC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4613" w:rsidRPr="00F832DC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4613" w:rsidRPr="00F832DC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5D4613" w:rsidRPr="00F832DC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5D4613" w:rsidRPr="00F832DC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5D4613" w:rsidRPr="00F832DC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D4613" w:rsidRPr="00887F69" w:rsidTr="003F46BB">
        <w:trPr>
          <w:trHeight w:val="499"/>
          <w:jc w:val="center"/>
        </w:trPr>
        <w:tc>
          <w:tcPr>
            <w:tcW w:w="42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4613" w:rsidRPr="00F832DC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5D4613" w:rsidRPr="00F832DC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Биодиверзитет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геодиверзитет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4613" w:rsidRPr="00F832DC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87F6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87F6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5D4613" w:rsidRPr="00F832DC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5D4613" w:rsidRPr="00F832DC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5D4613" w:rsidRPr="00F832DC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D4613" w:rsidRPr="00887F69" w:rsidTr="003F46BB">
        <w:trPr>
          <w:trHeight w:val="499"/>
          <w:jc w:val="center"/>
        </w:trPr>
        <w:tc>
          <w:tcPr>
            <w:tcW w:w="422" w:type="dxa"/>
            <w:vAlign w:val="center"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vAlign w:val="center"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gridSpan w:val="10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 w:rsidRPr="00887F69">
              <w:rPr>
                <w:rFonts w:ascii="Times New Roman" w:hAnsi="Times New Roman"/>
                <w:b/>
                <w:sz w:val="24"/>
                <w:szCs w:val="24"/>
              </w:rPr>
              <w:t>УКУПНО:</w:t>
            </w:r>
          </w:p>
        </w:tc>
        <w:tc>
          <w:tcPr>
            <w:tcW w:w="116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5D4613" w:rsidRPr="00F832DC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5D4613" w:rsidRPr="00887F69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5D4613" w:rsidRPr="00F832DC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4613" w:rsidRPr="00F832DC" w:rsidRDefault="005D4613" w:rsidP="003F4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5D4613" w:rsidRPr="00ED7F56" w:rsidRDefault="005D4613" w:rsidP="005D4613">
      <w:pPr>
        <w:rPr>
          <w:rFonts w:ascii="Times New Roman" w:hAnsi="Times New Roman"/>
          <w:sz w:val="24"/>
          <w:szCs w:val="24"/>
        </w:rPr>
      </w:pPr>
      <w:r w:rsidRPr="003352A8">
        <w:rPr>
          <w:rFonts w:ascii="Times New Roman" w:hAnsi="Times New Roman"/>
          <w:b/>
          <w:sz w:val="24"/>
          <w:szCs w:val="24"/>
        </w:rPr>
        <w:t>КЉУЧНИ ПОЈМОВИ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природа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природни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ресурси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природна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богатства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животна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средина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загађивање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биодиверзитет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геодибверзитет</w:t>
      </w:r>
      <w:proofErr w:type="spellEnd"/>
    </w:p>
    <w:p w:rsidR="005D4613" w:rsidRPr="00ED7F56" w:rsidRDefault="005D4613" w:rsidP="005D4613">
      <w:pPr>
        <w:rPr>
          <w:rFonts w:ascii="Times New Roman" w:hAnsi="Times New Roman"/>
          <w:sz w:val="24"/>
          <w:szCs w:val="24"/>
        </w:rPr>
      </w:pPr>
      <w:r w:rsidRPr="003352A8">
        <w:rPr>
          <w:rFonts w:ascii="Times New Roman" w:hAnsi="Times New Roman"/>
          <w:b/>
          <w:sz w:val="24"/>
          <w:szCs w:val="24"/>
        </w:rPr>
        <w:t>АКТИВНОСТ НАСТАВНИКА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усмерава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упућује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тражи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податке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даје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савете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подршку</w:t>
      </w:r>
      <w:proofErr w:type="spellEnd"/>
      <w:r>
        <w:rPr>
          <w:rFonts w:ascii="Times New Roman" w:hAnsi="Times New Roman"/>
          <w:sz w:val="24"/>
          <w:szCs w:val="24"/>
        </w:rPr>
        <w:t>…</w:t>
      </w:r>
    </w:p>
    <w:p w:rsidR="005D4613" w:rsidRDefault="005D4613" w:rsidP="005D4613">
      <w:pPr>
        <w:rPr>
          <w:rFonts w:ascii="Times New Roman" w:hAnsi="Times New Roman"/>
          <w:sz w:val="24"/>
          <w:szCs w:val="24"/>
        </w:rPr>
      </w:pPr>
      <w:r w:rsidRPr="003352A8">
        <w:rPr>
          <w:rFonts w:ascii="Times New Roman" w:hAnsi="Times New Roman"/>
          <w:b/>
          <w:sz w:val="24"/>
          <w:szCs w:val="24"/>
        </w:rPr>
        <w:t>АКТИВНОСТ УЧЕНИКА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истражује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обрађује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податке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учествује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акцијама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иницира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акције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даје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предлоге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сарађује</w:t>
      </w:r>
      <w:proofErr w:type="spellEnd"/>
      <w:r>
        <w:rPr>
          <w:rFonts w:ascii="Times New Roman" w:hAnsi="Times New Roman"/>
          <w:sz w:val="24"/>
          <w:szCs w:val="24"/>
        </w:rPr>
        <w:t>…</w:t>
      </w:r>
    </w:p>
    <w:p w:rsidR="005D4613" w:rsidRPr="00ED7F56" w:rsidRDefault="005D4613" w:rsidP="005D4613">
      <w:pPr>
        <w:rPr>
          <w:rFonts w:ascii="Times New Roman" w:hAnsi="Times New Roman"/>
          <w:sz w:val="24"/>
          <w:szCs w:val="24"/>
        </w:rPr>
      </w:pPr>
      <w:r w:rsidRPr="00E659CD">
        <w:rPr>
          <w:rFonts w:ascii="Times New Roman" w:hAnsi="Times New Roman"/>
          <w:b/>
          <w:bCs/>
          <w:sz w:val="24"/>
          <w:szCs w:val="24"/>
        </w:rPr>
        <w:t>ОПШТЕ МЕЂУПРЕДМЕТНЕ КОМПЕТЕНЦИЈЕ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Pr="00E659CD">
        <w:rPr>
          <w:rFonts w:ascii="Times New Roman" w:hAnsi="Times New Roman"/>
          <w:sz w:val="24"/>
          <w:szCs w:val="24"/>
        </w:rPr>
        <w:t>Компетенција</w:t>
      </w:r>
      <w:proofErr w:type="spellEnd"/>
      <w:r w:rsidRPr="00E65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9CD">
        <w:rPr>
          <w:rFonts w:ascii="Times New Roman" w:hAnsi="Times New Roman"/>
          <w:sz w:val="24"/>
          <w:szCs w:val="24"/>
        </w:rPr>
        <w:t>за</w:t>
      </w:r>
      <w:proofErr w:type="spellEnd"/>
      <w:r w:rsidRPr="00E65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9CD">
        <w:rPr>
          <w:rFonts w:ascii="Times New Roman" w:hAnsi="Times New Roman"/>
          <w:sz w:val="24"/>
          <w:szCs w:val="24"/>
        </w:rPr>
        <w:t>целоживотно</w:t>
      </w:r>
      <w:proofErr w:type="spellEnd"/>
      <w:r w:rsidRPr="00E65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9CD">
        <w:rPr>
          <w:rFonts w:ascii="Times New Roman" w:hAnsi="Times New Roman"/>
          <w:sz w:val="24"/>
          <w:szCs w:val="24"/>
        </w:rPr>
        <w:t>учење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59CD">
        <w:rPr>
          <w:rFonts w:ascii="Times New Roman" w:hAnsi="Times New Roman"/>
          <w:sz w:val="24"/>
          <w:szCs w:val="24"/>
        </w:rPr>
        <w:t>Естетичка</w:t>
      </w:r>
      <w:proofErr w:type="spellEnd"/>
      <w:r w:rsidRPr="00E65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9CD">
        <w:rPr>
          <w:rFonts w:ascii="Times New Roman" w:hAnsi="Times New Roman"/>
          <w:sz w:val="24"/>
          <w:szCs w:val="24"/>
        </w:rPr>
        <w:t>компетенција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59CD">
        <w:rPr>
          <w:rFonts w:ascii="Times New Roman" w:hAnsi="Times New Roman"/>
          <w:sz w:val="24"/>
          <w:szCs w:val="24"/>
        </w:rPr>
        <w:t>Решавање</w:t>
      </w:r>
      <w:proofErr w:type="spellEnd"/>
      <w:r w:rsidRPr="00E65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9CD">
        <w:rPr>
          <w:rFonts w:ascii="Times New Roman" w:hAnsi="Times New Roman"/>
          <w:sz w:val="24"/>
          <w:szCs w:val="24"/>
        </w:rPr>
        <w:t>проблема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59CD">
        <w:rPr>
          <w:rFonts w:ascii="Times New Roman" w:hAnsi="Times New Roman"/>
          <w:sz w:val="24"/>
          <w:szCs w:val="24"/>
        </w:rPr>
        <w:t>Комуникација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59CD">
        <w:rPr>
          <w:rFonts w:ascii="Times New Roman" w:hAnsi="Times New Roman"/>
          <w:sz w:val="24"/>
          <w:szCs w:val="24"/>
        </w:rPr>
        <w:t>Сарадња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59CD">
        <w:rPr>
          <w:rFonts w:ascii="Times New Roman" w:hAnsi="Times New Roman"/>
          <w:sz w:val="24"/>
          <w:szCs w:val="24"/>
        </w:rPr>
        <w:t>Рад</w:t>
      </w:r>
      <w:proofErr w:type="spellEnd"/>
      <w:r w:rsidRPr="00E65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9CD">
        <w:rPr>
          <w:rFonts w:ascii="Times New Roman" w:hAnsi="Times New Roman"/>
          <w:sz w:val="24"/>
          <w:szCs w:val="24"/>
        </w:rPr>
        <w:t>са</w:t>
      </w:r>
      <w:proofErr w:type="spellEnd"/>
      <w:r w:rsidRPr="00E65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9CD">
        <w:rPr>
          <w:rFonts w:ascii="Times New Roman" w:hAnsi="Times New Roman"/>
          <w:sz w:val="24"/>
          <w:szCs w:val="24"/>
        </w:rPr>
        <w:t>подацима</w:t>
      </w:r>
      <w:proofErr w:type="spellEnd"/>
      <w:r w:rsidRPr="00E659C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659CD">
        <w:rPr>
          <w:rFonts w:ascii="Times New Roman" w:hAnsi="Times New Roman"/>
          <w:sz w:val="24"/>
          <w:szCs w:val="24"/>
        </w:rPr>
        <w:t>информацијама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59CD">
        <w:rPr>
          <w:rFonts w:ascii="Times New Roman" w:hAnsi="Times New Roman"/>
          <w:sz w:val="24"/>
          <w:szCs w:val="24"/>
        </w:rPr>
        <w:t>Дигитална</w:t>
      </w:r>
      <w:proofErr w:type="spellEnd"/>
      <w:r w:rsidRPr="00E65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9CD">
        <w:rPr>
          <w:rFonts w:ascii="Times New Roman" w:hAnsi="Times New Roman"/>
          <w:sz w:val="24"/>
          <w:szCs w:val="24"/>
        </w:rPr>
        <w:t>компетенција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59CD">
        <w:rPr>
          <w:rFonts w:ascii="Times New Roman" w:hAnsi="Times New Roman"/>
          <w:sz w:val="24"/>
          <w:szCs w:val="24"/>
        </w:rPr>
        <w:t>Одговорно</w:t>
      </w:r>
      <w:proofErr w:type="spellEnd"/>
      <w:r w:rsidRPr="00E65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9CD">
        <w:rPr>
          <w:rFonts w:ascii="Times New Roman" w:hAnsi="Times New Roman"/>
          <w:sz w:val="24"/>
          <w:szCs w:val="24"/>
        </w:rPr>
        <w:t>учешће</w:t>
      </w:r>
      <w:proofErr w:type="spellEnd"/>
      <w:r w:rsidRPr="00E659C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E659CD">
        <w:rPr>
          <w:rFonts w:ascii="Times New Roman" w:hAnsi="Times New Roman"/>
          <w:sz w:val="24"/>
          <w:szCs w:val="24"/>
        </w:rPr>
        <w:t>демократском</w:t>
      </w:r>
      <w:proofErr w:type="spellEnd"/>
      <w:r w:rsidRPr="00E65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9CD">
        <w:rPr>
          <w:rFonts w:ascii="Times New Roman" w:hAnsi="Times New Roman"/>
          <w:sz w:val="24"/>
          <w:szCs w:val="24"/>
        </w:rPr>
        <w:t>друштву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59CD">
        <w:rPr>
          <w:rFonts w:ascii="Times New Roman" w:hAnsi="Times New Roman"/>
          <w:sz w:val="24"/>
          <w:szCs w:val="24"/>
        </w:rPr>
        <w:t>Предузимљивост</w:t>
      </w:r>
      <w:proofErr w:type="spellEnd"/>
      <w:r w:rsidRPr="00E659C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659CD">
        <w:rPr>
          <w:rFonts w:ascii="Times New Roman" w:hAnsi="Times New Roman"/>
          <w:sz w:val="24"/>
          <w:szCs w:val="24"/>
        </w:rPr>
        <w:t>оријентација</w:t>
      </w:r>
      <w:proofErr w:type="spellEnd"/>
      <w:r w:rsidRPr="00E65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9CD">
        <w:rPr>
          <w:rFonts w:ascii="Times New Roman" w:hAnsi="Times New Roman"/>
          <w:sz w:val="24"/>
          <w:szCs w:val="24"/>
        </w:rPr>
        <w:t>ка</w:t>
      </w:r>
      <w:proofErr w:type="spellEnd"/>
      <w:r w:rsidRPr="00E65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9CD">
        <w:rPr>
          <w:rFonts w:ascii="Times New Roman" w:hAnsi="Times New Roman"/>
          <w:sz w:val="24"/>
          <w:szCs w:val="24"/>
        </w:rPr>
        <w:t>предузетништву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59CD">
        <w:rPr>
          <w:rFonts w:ascii="Times New Roman" w:hAnsi="Times New Roman"/>
          <w:sz w:val="24"/>
          <w:szCs w:val="24"/>
        </w:rPr>
        <w:t>Одговоран</w:t>
      </w:r>
      <w:proofErr w:type="spellEnd"/>
      <w:r w:rsidRPr="00E65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9CD">
        <w:rPr>
          <w:rFonts w:ascii="Times New Roman" w:hAnsi="Times New Roman"/>
          <w:sz w:val="24"/>
          <w:szCs w:val="24"/>
        </w:rPr>
        <w:t>однос</w:t>
      </w:r>
      <w:proofErr w:type="spellEnd"/>
      <w:r w:rsidRPr="00E65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9CD">
        <w:rPr>
          <w:rFonts w:ascii="Times New Roman" w:hAnsi="Times New Roman"/>
          <w:sz w:val="24"/>
          <w:szCs w:val="24"/>
        </w:rPr>
        <w:t>према</w:t>
      </w:r>
      <w:proofErr w:type="spellEnd"/>
      <w:r w:rsidRPr="00E65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9CD">
        <w:rPr>
          <w:rFonts w:ascii="Times New Roman" w:hAnsi="Times New Roman"/>
          <w:sz w:val="24"/>
          <w:szCs w:val="24"/>
        </w:rPr>
        <w:t>здрављу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59CD">
        <w:rPr>
          <w:rFonts w:ascii="Times New Roman" w:hAnsi="Times New Roman"/>
          <w:sz w:val="24"/>
          <w:szCs w:val="24"/>
        </w:rPr>
        <w:t>Одговоран</w:t>
      </w:r>
      <w:proofErr w:type="spellEnd"/>
      <w:r w:rsidRPr="00E65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9CD">
        <w:rPr>
          <w:rFonts w:ascii="Times New Roman" w:hAnsi="Times New Roman"/>
          <w:sz w:val="24"/>
          <w:szCs w:val="24"/>
        </w:rPr>
        <w:t>однос</w:t>
      </w:r>
      <w:proofErr w:type="spellEnd"/>
      <w:r w:rsidRPr="00E65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9CD">
        <w:rPr>
          <w:rFonts w:ascii="Times New Roman" w:hAnsi="Times New Roman"/>
          <w:sz w:val="24"/>
          <w:szCs w:val="24"/>
        </w:rPr>
        <w:t>према</w:t>
      </w:r>
      <w:proofErr w:type="spellEnd"/>
      <w:r w:rsidRPr="00E65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9CD">
        <w:rPr>
          <w:rFonts w:ascii="Times New Roman" w:hAnsi="Times New Roman"/>
          <w:sz w:val="24"/>
          <w:szCs w:val="24"/>
        </w:rPr>
        <w:t>околини</w:t>
      </w:r>
      <w:proofErr w:type="spellEnd"/>
    </w:p>
    <w:p w:rsidR="005D4613" w:rsidRDefault="005D4613" w:rsidP="005D4613">
      <w:pPr>
        <w:rPr>
          <w:rFonts w:ascii="Times New Roman" w:hAnsi="Times New Roman"/>
          <w:b/>
          <w:sz w:val="24"/>
          <w:szCs w:val="24"/>
        </w:rPr>
      </w:pPr>
      <w:r w:rsidRPr="003352A8">
        <w:rPr>
          <w:rFonts w:ascii="Times New Roman" w:hAnsi="Times New Roman"/>
          <w:b/>
          <w:sz w:val="24"/>
          <w:szCs w:val="24"/>
        </w:rPr>
        <w:t>УПУТСТВО ЗА ФОРМАТИВНО И СУМАТИВНО ОЦЕЊИВАЊЕ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D4613" w:rsidRPr="00803439" w:rsidRDefault="005D4613" w:rsidP="005D4613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03439">
        <w:rPr>
          <w:rFonts w:ascii="Times New Roman" w:hAnsi="Times New Roman"/>
          <w:sz w:val="24"/>
          <w:szCs w:val="24"/>
        </w:rPr>
        <w:t>Имајући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03439">
        <w:rPr>
          <w:rFonts w:ascii="Times New Roman" w:hAnsi="Times New Roman"/>
          <w:sz w:val="24"/>
          <w:szCs w:val="24"/>
        </w:rPr>
        <w:t>виду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концепт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3439">
        <w:rPr>
          <w:rFonts w:ascii="Times New Roman" w:hAnsi="Times New Roman"/>
          <w:sz w:val="24"/>
          <w:szCs w:val="24"/>
        </w:rPr>
        <w:t>исходе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03439">
        <w:rPr>
          <w:rFonts w:ascii="Times New Roman" w:hAnsi="Times New Roman"/>
          <w:sz w:val="24"/>
          <w:szCs w:val="24"/>
        </w:rPr>
        <w:t>компетенције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које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треба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развити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3439">
        <w:rPr>
          <w:rFonts w:ascii="Times New Roman" w:hAnsi="Times New Roman"/>
          <w:sz w:val="24"/>
          <w:szCs w:val="24"/>
        </w:rPr>
        <w:t>процес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праћења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03439">
        <w:rPr>
          <w:rFonts w:ascii="Times New Roman" w:hAnsi="Times New Roman"/>
          <w:sz w:val="24"/>
          <w:szCs w:val="24"/>
        </w:rPr>
        <w:t>вредновања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ученичких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постигнућа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се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темељи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на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целовитом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03439">
        <w:rPr>
          <w:rFonts w:ascii="Times New Roman" w:hAnsi="Times New Roman"/>
          <w:sz w:val="24"/>
          <w:szCs w:val="24"/>
        </w:rPr>
        <w:t>холистичком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03439">
        <w:rPr>
          <w:rFonts w:ascii="Times New Roman" w:hAnsi="Times New Roman"/>
          <w:sz w:val="24"/>
          <w:szCs w:val="24"/>
        </w:rPr>
        <w:t>приступу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03439">
        <w:rPr>
          <w:rFonts w:ascii="Times New Roman" w:hAnsi="Times New Roman"/>
          <w:sz w:val="24"/>
          <w:szCs w:val="24"/>
        </w:rPr>
        <w:t>подстицању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индивидуалног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развоја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03439">
        <w:rPr>
          <w:rFonts w:ascii="Times New Roman" w:hAnsi="Times New Roman"/>
          <w:sz w:val="24"/>
          <w:szCs w:val="24"/>
        </w:rPr>
        <w:t>развијање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свих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потенцијала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ученика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03439">
        <w:rPr>
          <w:rFonts w:ascii="Times New Roman" w:hAnsi="Times New Roman"/>
          <w:sz w:val="24"/>
          <w:szCs w:val="24"/>
        </w:rPr>
        <w:t>когнитивни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3439">
        <w:rPr>
          <w:rFonts w:ascii="Times New Roman" w:hAnsi="Times New Roman"/>
          <w:sz w:val="24"/>
          <w:szCs w:val="24"/>
        </w:rPr>
        <w:t>афективни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03439">
        <w:rPr>
          <w:rFonts w:ascii="Times New Roman" w:hAnsi="Times New Roman"/>
          <w:sz w:val="24"/>
          <w:szCs w:val="24"/>
        </w:rPr>
        <w:t>психомоторички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домен</w:t>
      </w:r>
      <w:proofErr w:type="spellEnd"/>
      <w:r w:rsidRPr="00803439">
        <w:rPr>
          <w:rFonts w:ascii="Times New Roman" w:hAnsi="Times New Roman"/>
          <w:sz w:val="24"/>
          <w:szCs w:val="24"/>
        </w:rPr>
        <w:t>).</w:t>
      </w:r>
      <w:proofErr w:type="gramEnd"/>
    </w:p>
    <w:p w:rsidR="005D4613" w:rsidRPr="00803439" w:rsidRDefault="005D4613" w:rsidP="005D4613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03439">
        <w:rPr>
          <w:rFonts w:ascii="Times New Roman" w:hAnsi="Times New Roman"/>
          <w:sz w:val="24"/>
          <w:szCs w:val="24"/>
        </w:rPr>
        <w:t>Наставник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треба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континуирано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да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прати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напредак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ученика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3439">
        <w:rPr>
          <w:rFonts w:ascii="Times New Roman" w:hAnsi="Times New Roman"/>
          <w:sz w:val="24"/>
          <w:szCs w:val="24"/>
        </w:rPr>
        <w:t>који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се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огледа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03439">
        <w:rPr>
          <w:rFonts w:ascii="Times New Roman" w:hAnsi="Times New Roman"/>
          <w:sz w:val="24"/>
          <w:szCs w:val="24"/>
        </w:rPr>
        <w:t>начину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на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који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ученици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учествују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03439">
        <w:rPr>
          <w:rFonts w:ascii="Times New Roman" w:hAnsi="Times New Roman"/>
          <w:sz w:val="24"/>
          <w:szCs w:val="24"/>
        </w:rPr>
        <w:t>активностима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3439">
        <w:rPr>
          <w:rFonts w:ascii="Times New Roman" w:hAnsi="Times New Roman"/>
          <w:sz w:val="24"/>
          <w:szCs w:val="24"/>
        </w:rPr>
        <w:t>како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прикупљају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податке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3439">
        <w:rPr>
          <w:rFonts w:ascii="Times New Roman" w:hAnsi="Times New Roman"/>
          <w:sz w:val="24"/>
          <w:szCs w:val="24"/>
        </w:rPr>
        <w:t>како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предвиђаjу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последице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3439">
        <w:rPr>
          <w:rFonts w:ascii="Times New Roman" w:hAnsi="Times New Roman"/>
          <w:sz w:val="24"/>
          <w:szCs w:val="24"/>
        </w:rPr>
        <w:t>како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критички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промишљаjу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3439">
        <w:rPr>
          <w:rFonts w:ascii="Times New Roman" w:hAnsi="Times New Roman"/>
          <w:sz w:val="24"/>
          <w:szCs w:val="24"/>
        </w:rPr>
        <w:t>чиме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се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руководе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03439">
        <w:rPr>
          <w:rFonts w:ascii="Times New Roman" w:hAnsi="Times New Roman"/>
          <w:sz w:val="24"/>
          <w:szCs w:val="24"/>
        </w:rPr>
        <w:t>процесу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доношења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одлука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3439">
        <w:rPr>
          <w:rFonts w:ascii="Times New Roman" w:hAnsi="Times New Roman"/>
          <w:sz w:val="24"/>
          <w:szCs w:val="24"/>
        </w:rPr>
        <w:t>како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комуницираjу</w:t>
      </w:r>
      <w:proofErr w:type="spellEnd"/>
      <w:r w:rsidRPr="00803439">
        <w:rPr>
          <w:rFonts w:ascii="Times New Roman" w:hAnsi="Times New Roman"/>
          <w:sz w:val="24"/>
          <w:szCs w:val="24"/>
        </w:rPr>
        <w:t>.</w:t>
      </w:r>
      <w:proofErr w:type="gram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03439">
        <w:rPr>
          <w:rFonts w:ascii="Times New Roman" w:hAnsi="Times New Roman"/>
          <w:sz w:val="24"/>
          <w:szCs w:val="24"/>
        </w:rPr>
        <w:t>Вредновање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ученичких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постигнућа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врши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се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03439">
        <w:rPr>
          <w:rFonts w:ascii="Times New Roman" w:hAnsi="Times New Roman"/>
          <w:sz w:val="24"/>
          <w:szCs w:val="24"/>
        </w:rPr>
        <w:t>складу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са</w:t>
      </w:r>
      <w:proofErr w:type="spellEnd"/>
      <w:r w:rsidRPr="00803439">
        <w:rPr>
          <w:rFonts w:ascii="Times New Roman" w:hAnsi="Times New Roman"/>
          <w:sz w:val="24"/>
          <w:szCs w:val="24"/>
        </w:rPr>
        <w:t> </w:t>
      </w:r>
      <w:proofErr w:type="spellStart"/>
      <w:r w:rsidRPr="00803439">
        <w:rPr>
          <w:rFonts w:ascii="Times New Roman" w:hAnsi="Times New Roman"/>
          <w:i/>
          <w:iCs/>
          <w:sz w:val="24"/>
          <w:szCs w:val="24"/>
        </w:rPr>
        <w:t>Правилником</w:t>
      </w:r>
      <w:proofErr w:type="spellEnd"/>
      <w:r w:rsidRPr="00803439">
        <w:rPr>
          <w:rFonts w:ascii="Times New Roman" w:hAnsi="Times New Roman"/>
          <w:i/>
          <w:iCs/>
          <w:sz w:val="24"/>
          <w:szCs w:val="24"/>
        </w:rPr>
        <w:t xml:space="preserve"> о </w:t>
      </w:r>
      <w:proofErr w:type="spellStart"/>
      <w:r w:rsidRPr="00803439">
        <w:rPr>
          <w:rFonts w:ascii="Times New Roman" w:hAnsi="Times New Roman"/>
          <w:i/>
          <w:iCs/>
          <w:sz w:val="24"/>
          <w:szCs w:val="24"/>
        </w:rPr>
        <w:t>оцењивању</w:t>
      </w:r>
      <w:proofErr w:type="spellEnd"/>
      <w:r w:rsidRPr="0080343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i/>
          <w:iCs/>
          <w:sz w:val="24"/>
          <w:szCs w:val="24"/>
        </w:rPr>
        <w:t>ученика</w:t>
      </w:r>
      <w:proofErr w:type="spellEnd"/>
      <w:r w:rsidRPr="00803439">
        <w:rPr>
          <w:rFonts w:ascii="Times New Roman" w:hAnsi="Times New Roman"/>
          <w:i/>
          <w:iCs/>
          <w:sz w:val="24"/>
          <w:szCs w:val="24"/>
        </w:rPr>
        <w:t xml:space="preserve"> у </w:t>
      </w:r>
      <w:proofErr w:type="spellStart"/>
      <w:r w:rsidRPr="00803439">
        <w:rPr>
          <w:rFonts w:ascii="Times New Roman" w:hAnsi="Times New Roman"/>
          <w:i/>
          <w:iCs/>
          <w:sz w:val="24"/>
          <w:szCs w:val="24"/>
        </w:rPr>
        <w:t>основном</w:t>
      </w:r>
      <w:proofErr w:type="spellEnd"/>
      <w:r w:rsidRPr="0080343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i/>
          <w:iCs/>
          <w:sz w:val="24"/>
          <w:szCs w:val="24"/>
        </w:rPr>
        <w:t>образовању</w:t>
      </w:r>
      <w:proofErr w:type="spellEnd"/>
      <w:r w:rsidRPr="00803439">
        <w:rPr>
          <w:rFonts w:ascii="Times New Roman" w:hAnsi="Times New Roman"/>
          <w:i/>
          <w:iCs/>
          <w:sz w:val="24"/>
          <w:szCs w:val="24"/>
        </w:rPr>
        <w:t xml:space="preserve"> и </w:t>
      </w:r>
      <w:proofErr w:type="spellStart"/>
      <w:r w:rsidRPr="00803439">
        <w:rPr>
          <w:rFonts w:ascii="Times New Roman" w:hAnsi="Times New Roman"/>
          <w:i/>
          <w:iCs/>
          <w:sz w:val="24"/>
          <w:szCs w:val="24"/>
        </w:rPr>
        <w:t>васпитању</w:t>
      </w:r>
      <w:proofErr w:type="spellEnd"/>
      <w:r w:rsidRPr="00803439">
        <w:rPr>
          <w:rFonts w:ascii="Times New Roman" w:hAnsi="Times New Roman"/>
          <w:i/>
          <w:iCs/>
          <w:sz w:val="24"/>
          <w:szCs w:val="24"/>
        </w:rPr>
        <w:t>,</w:t>
      </w:r>
      <w:r w:rsidRPr="00803439">
        <w:rPr>
          <w:rFonts w:ascii="Times New Roman" w:hAnsi="Times New Roman"/>
          <w:sz w:val="24"/>
          <w:szCs w:val="24"/>
        </w:rPr>
        <w:t xml:space="preserve"> а </w:t>
      </w:r>
      <w:proofErr w:type="spellStart"/>
      <w:r w:rsidRPr="00803439">
        <w:rPr>
          <w:rFonts w:ascii="Times New Roman" w:hAnsi="Times New Roman"/>
          <w:sz w:val="24"/>
          <w:szCs w:val="24"/>
        </w:rPr>
        <w:t>успех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се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изражава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описно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03439">
        <w:rPr>
          <w:rFonts w:ascii="Times New Roman" w:hAnsi="Times New Roman"/>
          <w:i/>
          <w:iCs/>
          <w:sz w:val="24"/>
          <w:szCs w:val="24"/>
        </w:rPr>
        <w:t>истиче</w:t>
      </w:r>
      <w:proofErr w:type="spellEnd"/>
      <w:r w:rsidRPr="0080343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i/>
          <w:iCs/>
          <w:sz w:val="24"/>
          <w:szCs w:val="24"/>
        </w:rPr>
        <w:t>се</w:t>
      </w:r>
      <w:proofErr w:type="spellEnd"/>
      <w:r w:rsidRPr="00803439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803439">
        <w:rPr>
          <w:rFonts w:ascii="Times New Roman" w:hAnsi="Times New Roman"/>
          <w:i/>
          <w:iCs/>
          <w:sz w:val="24"/>
          <w:szCs w:val="24"/>
        </w:rPr>
        <w:t>добар</w:t>
      </w:r>
      <w:proofErr w:type="spellEnd"/>
      <w:r w:rsidRPr="00803439">
        <w:rPr>
          <w:rFonts w:ascii="Times New Roman" w:hAnsi="Times New Roman"/>
          <w:i/>
          <w:iCs/>
          <w:sz w:val="24"/>
          <w:szCs w:val="24"/>
        </w:rPr>
        <w:t> </w:t>
      </w:r>
      <w:r w:rsidRPr="00803439">
        <w:rPr>
          <w:rFonts w:ascii="Times New Roman" w:hAnsi="Times New Roman"/>
          <w:sz w:val="24"/>
          <w:szCs w:val="24"/>
        </w:rPr>
        <w:t>и</w:t>
      </w:r>
      <w:r w:rsidRPr="00803439">
        <w:rPr>
          <w:rFonts w:ascii="Times New Roman" w:hAnsi="Times New Roman"/>
          <w:i/>
          <w:iCs/>
          <w:sz w:val="24"/>
          <w:szCs w:val="24"/>
        </w:rPr>
        <w:t> </w:t>
      </w:r>
      <w:proofErr w:type="spellStart"/>
      <w:r w:rsidRPr="00803439">
        <w:rPr>
          <w:rFonts w:ascii="Times New Roman" w:hAnsi="Times New Roman"/>
          <w:i/>
          <w:iCs/>
          <w:sz w:val="24"/>
          <w:szCs w:val="24"/>
        </w:rPr>
        <w:t>задовољава</w:t>
      </w:r>
      <w:proofErr w:type="spellEnd"/>
      <w:r w:rsidRPr="00803439">
        <w:rPr>
          <w:rFonts w:ascii="Times New Roman" w:hAnsi="Times New Roman"/>
          <w:i/>
          <w:iCs/>
          <w:sz w:val="24"/>
          <w:szCs w:val="24"/>
        </w:rPr>
        <w:t>).</w:t>
      </w:r>
      <w:proofErr w:type="gramEnd"/>
      <w:r w:rsidRPr="00803439">
        <w:rPr>
          <w:rFonts w:ascii="Times New Roman" w:hAnsi="Times New Roman"/>
          <w:sz w:val="24"/>
          <w:szCs w:val="24"/>
        </w:rPr>
        <w:t> </w:t>
      </w:r>
      <w:proofErr w:type="spellStart"/>
      <w:proofErr w:type="gramStart"/>
      <w:r w:rsidRPr="00803439">
        <w:rPr>
          <w:rFonts w:ascii="Times New Roman" w:hAnsi="Times New Roman"/>
          <w:sz w:val="24"/>
          <w:szCs w:val="24"/>
        </w:rPr>
        <w:t>Ученици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свакако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треба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унапред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да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буду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упознати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шта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ће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се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03439">
        <w:rPr>
          <w:rFonts w:ascii="Times New Roman" w:hAnsi="Times New Roman"/>
          <w:sz w:val="24"/>
          <w:szCs w:val="24"/>
        </w:rPr>
        <w:t>на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коjи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начин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пратити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03439">
        <w:rPr>
          <w:rFonts w:ascii="Times New Roman" w:hAnsi="Times New Roman"/>
          <w:sz w:val="24"/>
          <w:szCs w:val="24"/>
        </w:rPr>
        <w:t>вредновати</w:t>
      </w:r>
      <w:proofErr w:type="spellEnd"/>
      <w:r w:rsidRPr="00803439">
        <w:rPr>
          <w:rFonts w:ascii="Times New Roman" w:hAnsi="Times New Roman"/>
          <w:sz w:val="24"/>
          <w:szCs w:val="24"/>
        </w:rPr>
        <w:t>.</w:t>
      </w:r>
      <w:proofErr w:type="gram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03439">
        <w:rPr>
          <w:rFonts w:ascii="Times New Roman" w:hAnsi="Times New Roman"/>
          <w:sz w:val="24"/>
          <w:szCs w:val="24"/>
        </w:rPr>
        <w:t>Ученик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је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активни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субјект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03439">
        <w:rPr>
          <w:rFonts w:ascii="Times New Roman" w:hAnsi="Times New Roman"/>
          <w:sz w:val="24"/>
          <w:szCs w:val="24"/>
        </w:rPr>
        <w:t>процесу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учења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3439">
        <w:rPr>
          <w:rFonts w:ascii="Times New Roman" w:hAnsi="Times New Roman"/>
          <w:sz w:val="24"/>
          <w:szCs w:val="24"/>
        </w:rPr>
        <w:t>вредновања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03439">
        <w:rPr>
          <w:rFonts w:ascii="Times New Roman" w:hAnsi="Times New Roman"/>
          <w:sz w:val="24"/>
          <w:szCs w:val="24"/>
        </w:rPr>
        <w:t>самовредновања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сопствених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постигнућа</w:t>
      </w:r>
      <w:proofErr w:type="spellEnd"/>
      <w:r w:rsidRPr="00803439">
        <w:rPr>
          <w:rFonts w:ascii="Times New Roman" w:hAnsi="Times New Roman"/>
          <w:sz w:val="24"/>
          <w:szCs w:val="24"/>
        </w:rPr>
        <w:t>.</w:t>
      </w:r>
      <w:proofErr w:type="gram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03439">
        <w:rPr>
          <w:rFonts w:ascii="Times New Roman" w:hAnsi="Times New Roman"/>
          <w:sz w:val="24"/>
          <w:szCs w:val="24"/>
        </w:rPr>
        <w:t>Сама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природа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03439">
        <w:rPr>
          <w:rFonts w:ascii="Times New Roman" w:hAnsi="Times New Roman"/>
          <w:sz w:val="24"/>
          <w:szCs w:val="24"/>
        </w:rPr>
        <w:t>концепција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предмета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03439">
        <w:rPr>
          <w:rFonts w:ascii="Times New Roman" w:hAnsi="Times New Roman"/>
          <w:sz w:val="24"/>
          <w:szCs w:val="24"/>
        </w:rPr>
        <w:t>потенцирање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на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активном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3439">
        <w:rPr>
          <w:rFonts w:ascii="Times New Roman" w:hAnsi="Times New Roman"/>
          <w:sz w:val="24"/>
          <w:szCs w:val="24"/>
        </w:rPr>
        <w:t>пројектном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03439">
        <w:rPr>
          <w:rFonts w:ascii="Times New Roman" w:hAnsi="Times New Roman"/>
          <w:sz w:val="24"/>
          <w:szCs w:val="24"/>
        </w:rPr>
        <w:t>истраживачком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приступу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03439">
        <w:rPr>
          <w:rFonts w:ascii="Times New Roman" w:hAnsi="Times New Roman"/>
          <w:sz w:val="24"/>
          <w:szCs w:val="24"/>
        </w:rPr>
        <w:t>стицању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ученичких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компетенција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наглашава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формативно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оцењивање</w:t>
      </w:r>
      <w:proofErr w:type="spellEnd"/>
      <w:r w:rsidRPr="00803439">
        <w:rPr>
          <w:rFonts w:ascii="Times New Roman" w:hAnsi="Times New Roman"/>
          <w:sz w:val="24"/>
          <w:szCs w:val="24"/>
        </w:rPr>
        <w:t>.</w:t>
      </w:r>
      <w:proofErr w:type="gram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Оно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се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исказује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кроз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03439">
        <w:rPr>
          <w:rFonts w:ascii="Times New Roman" w:hAnsi="Times New Roman"/>
          <w:sz w:val="24"/>
          <w:szCs w:val="24"/>
        </w:rPr>
        <w:t>опис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постигнућа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ученика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3439">
        <w:rPr>
          <w:rFonts w:ascii="Times New Roman" w:hAnsi="Times New Roman"/>
          <w:sz w:val="24"/>
          <w:szCs w:val="24"/>
        </w:rPr>
        <w:t>опис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ангажовања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ученика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03439">
        <w:rPr>
          <w:rFonts w:ascii="Times New Roman" w:hAnsi="Times New Roman"/>
          <w:sz w:val="24"/>
          <w:szCs w:val="24"/>
        </w:rPr>
        <w:t>настави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03439">
        <w:rPr>
          <w:rFonts w:ascii="Times New Roman" w:hAnsi="Times New Roman"/>
          <w:sz w:val="24"/>
          <w:szCs w:val="24"/>
        </w:rPr>
        <w:t>препоруке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за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даље</w:t>
      </w:r>
      <w:proofErr w:type="spellEnd"/>
      <w:r w:rsidRPr="0080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439">
        <w:rPr>
          <w:rFonts w:ascii="Times New Roman" w:hAnsi="Times New Roman"/>
          <w:sz w:val="24"/>
          <w:szCs w:val="24"/>
        </w:rPr>
        <w:t>напредовање</w:t>
      </w:r>
      <w:proofErr w:type="spellEnd"/>
      <w:r w:rsidRPr="00803439">
        <w:rPr>
          <w:rFonts w:ascii="Times New Roman" w:hAnsi="Times New Roman"/>
          <w:sz w:val="24"/>
          <w:szCs w:val="24"/>
        </w:rPr>
        <w:t>.</w:t>
      </w:r>
    </w:p>
    <w:p w:rsidR="005D4613" w:rsidRDefault="005D4613" w:rsidP="005D4613">
      <w:pPr>
        <w:rPr>
          <w:rFonts w:ascii="Times New Roman" w:hAnsi="Times New Roman"/>
          <w:b/>
          <w:sz w:val="24"/>
          <w:szCs w:val="24"/>
        </w:rPr>
      </w:pPr>
      <w:r w:rsidRPr="003352A8">
        <w:rPr>
          <w:rFonts w:ascii="Times New Roman" w:hAnsi="Times New Roman"/>
          <w:b/>
          <w:sz w:val="24"/>
          <w:szCs w:val="24"/>
        </w:rPr>
        <w:lastRenderedPageBreak/>
        <w:t>ПРЕПОРУЧЕНИ НАЧИН ПРИЛАГОЂАВАЊА ПРОГРАМА УЧЕНИКУ СА ИЗУЗЕТНИМ СПОСОБНОСТИМА</w:t>
      </w:r>
    </w:p>
    <w:p w:rsidR="005D4613" w:rsidRPr="00F832DC" w:rsidRDefault="005D4613" w:rsidP="005D4613">
      <w:pPr>
        <w:rPr>
          <w:rFonts w:ascii="Times New Roman" w:hAnsi="Times New Roman"/>
          <w:sz w:val="24"/>
          <w:szCs w:val="24"/>
        </w:rPr>
      </w:pPr>
      <w:proofErr w:type="spellStart"/>
      <w:r w:rsidRPr="00F832DC">
        <w:rPr>
          <w:rFonts w:ascii="Times New Roman" w:hAnsi="Times New Roman"/>
          <w:sz w:val="24"/>
          <w:szCs w:val="24"/>
        </w:rPr>
        <w:t>Сложенији</w:t>
      </w:r>
      <w:proofErr w:type="spellEnd"/>
      <w:r w:rsidRPr="00F832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32DC">
        <w:rPr>
          <w:rFonts w:ascii="Times New Roman" w:hAnsi="Times New Roman"/>
          <w:sz w:val="24"/>
          <w:szCs w:val="24"/>
        </w:rPr>
        <w:t>задаци</w:t>
      </w:r>
      <w:proofErr w:type="spellEnd"/>
      <w:r w:rsidRPr="00F832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32DC">
        <w:rPr>
          <w:rFonts w:ascii="Times New Roman" w:hAnsi="Times New Roman"/>
          <w:sz w:val="24"/>
          <w:szCs w:val="24"/>
        </w:rPr>
        <w:t>више</w:t>
      </w:r>
      <w:proofErr w:type="spellEnd"/>
      <w:r w:rsidRPr="00F832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32DC">
        <w:rPr>
          <w:rFonts w:ascii="Times New Roman" w:hAnsi="Times New Roman"/>
          <w:sz w:val="24"/>
          <w:szCs w:val="24"/>
        </w:rPr>
        <w:t>различитих</w:t>
      </w:r>
      <w:proofErr w:type="spellEnd"/>
      <w:r w:rsidRPr="00F832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32DC">
        <w:rPr>
          <w:rFonts w:ascii="Times New Roman" w:hAnsi="Times New Roman"/>
          <w:sz w:val="24"/>
          <w:szCs w:val="24"/>
        </w:rPr>
        <w:t>извора</w:t>
      </w:r>
      <w:proofErr w:type="spellEnd"/>
      <w:r w:rsidRPr="00F832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32DC">
        <w:rPr>
          <w:rFonts w:ascii="Times New Roman" w:hAnsi="Times New Roman"/>
          <w:sz w:val="24"/>
          <w:szCs w:val="24"/>
        </w:rPr>
        <w:t>за</w:t>
      </w:r>
      <w:proofErr w:type="spellEnd"/>
      <w:r w:rsidRPr="00F832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32DC">
        <w:rPr>
          <w:rFonts w:ascii="Times New Roman" w:hAnsi="Times New Roman"/>
          <w:sz w:val="24"/>
          <w:szCs w:val="24"/>
        </w:rPr>
        <w:t>учење</w:t>
      </w:r>
      <w:proofErr w:type="spellEnd"/>
      <w:r w:rsidRPr="00F832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32DC">
        <w:rPr>
          <w:rFonts w:ascii="Times New Roman" w:hAnsi="Times New Roman"/>
          <w:sz w:val="24"/>
          <w:szCs w:val="24"/>
        </w:rPr>
        <w:t>самостални</w:t>
      </w:r>
      <w:proofErr w:type="spellEnd"/>
      <w:r w:rsidRPr="00F832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32DC">
        <w:rPr>
          <w:rFonts w:ascii="Times New Roman" w:hAnsi="Times New Roman"/>
          <w:sz w:val="24"/>
          <w:szCs w:val="24"/>
        </w:rPr>
        <w:t>пројекти</w:t>
      </w:r>
      <w:proofErr w:type="spellEnd"/>
      <w:r w:rsidRPr="00F832DC">
        <w:rPr>
          <w:rFonts w:ascii="Times New Roman" w:hAnsi="Times New Roman"/>
          <w:sz w:val="24"/>
          <w:szCs w:val="24"/>
        </w:rPr>
        <w:t>…</w:t>
      </w:r>
    </w:p>
    <w:p w:rsidR="005D4613" w:rsidRPr="003352A8" w:rsidRDefault="005D4613" w:rsidP="005D4613">
      <w:pPr>
        <w:rPr>
          <w:rFonts w:ascii="Times New Roman" w:hAnsi="Times New Roman"/>
          <w:sz w:val="24"/>
          <w:szCs w:val="24"/>
        </w:rPr>
      </w:pPr>
      <w:r w:rsidRPr="003352A8">
        <w:rPr>
          <w:rFonts w:ascii="Times New Roman" w:hAnsi="Times New Roman"/>
          <w:b/>
          <w:sz w:val="24"/>
          <w:szCs w:val="24"/>
        </w:rPr>
        <w:t>ПРЕПОРУКЕ ЗА ПРИПРЕМУ ИНДИВИДУАЛНОГ ОБРАЗОВНОГ ПЛАНА ЗА УЧЕНИКЕ КОЈИМА ЈЕ ПОТРЕБНА ДОДАТНА ОБРАЗОВНА ПОДРШКА, КОЈИ СЕ СА ЗАКАШЊЕЊЕМ УКЉУЧУЈУ У ОБРАЗОВНИ ПРОЦЕС</w:t>
      </w:r>
    </w:p>
    <w:p w:rsidR="005D4613" w:rsidRPr="006222B0" w:rsidRDefault="005D4613" w:rsidP="005D4613">
      <w:pPr>
        <w:rPr>
          <w:rFonts w:ascii="Times New Roman" w:hAnsi="Times New Roman"/>
          <w:vanish/>
          <w:sz w:val="24"/>
          <w:szCs w:val="24"/>
        </w:rPr>
      </w:pPr>
      <w:proofErr w:type="spellStart"/>
      <w:proofErr w:type="gramStart"/>
      <w:r w:rsidRPr="00F832DC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Pr="00F832D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32DC">
        <w:rPr>
          <w:rFonts w:ascii="Times New Roman" w:hAnsi="Times New Roman"/>
          <w:bCs/>
          <w:sz w:val="24"/>
          <w:szCs w:val="24"/>
        </w:rPr>
        <w:t>слободну</w:t>
      </w:r>
      <w:proofErr w:type="spellEnd"/>
      <w:r w:rsidRPr="00F832D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32DC">
        <w:rPr>
          <w:rFonts w:ascii="Times New Roman" w:hAnsi="Times New Roman"/>
          <w:bCs/>
          <w:sz w:val="24"/>
          <w:szCs w:val="24"/>
        </w:rPr>
        <w:t>активност</w:t>
      </w:r>
      <w:proofErr w:type="spellEnd"/>
      <w:r w:rsidRPr="00F832D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32DC">
        <w:rPr>
          <w:rFonts w:ascii="Times New Roman" w:hAnsi="Times New Roman"/>
          <w:bCs/>
          <w:sz w:val="24"/>
          <w:szCs w:val="24"/>
        </w:rPr>
        <w:t>ученику</w:t>
      </w:r>
      <w:proofErr w:type="spellEnd"/>
      <w:r w:rsidRPr="00F832D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32DC">
        <w:rPr>
          <w:rFonts w:ascii="Times New Roman" w:hAnsi="Times New Roman"/>
          <w:bCs/>
          <w:sz w:val="24"/>
          <w:szCs w:val="24"/>
        </w:rPr>
        <w:t>прилагодити</w:t>
      </w:r>
      <w:proofErr w:type="spellEnd"/>
      <w:r w:rsidRPr="00F832DC">
        <w:rPr>
          <w:rFonts w:ascii="Times New Roman" w:hAnsi="Times New Roman"/>
          <w:bCs/>
          <w:sz w:val="24"/>
          <w:szCs w:val="24"/>
        </w:rPr>
        <w:t xml:space="preserve">, у </w:t>
      </w:r>
      <w:proofErr w:type="spellStart"/>
      <w:r w:rsidRPr="00F832DC">
        <w:rPr>
          <w:rFonts w:ascii="Times New Roman" w:hAnsi="Times New Roman"/>
          <w:bCs/>
          <w:sz w:val="24"/>
          <w:szCs w:val="24"/>
        </w:rPr>
        <w:t>зависности</w:t>
      </w:r>
      <w:proofErr w:type="spellEnd"/>
      <w:r w:rsidRPr="00F832D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32DC">
        <w:rPr>
          <w:rFonts w:ascii="Times New Roman" w:hAnsi="Times New Roman"/>
          <w:bCs/>
          <w:sz w:val="24"/>
          <w:szCs w:val="24"/>
        </w:rPr>
        <w:t>од</w:t>
      </w:r>
      <w:proofErr w:type="spellEnd"/>
      <w:r w:rsidRPr="00F832D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32DC">
        <w:rPr>
          <w:rFonts w:ascii="Times New Roman" w:hAnsi="Times New Roman"/>
          <w:bCs/>
          <w:sz w:val="24"/>
          <w:szCs w:val="24"/>
        </w:rPr>
        <w:t>степена</w:t>
      </w:r>
      <w:proofErr w:type="spellEnd"/>
      <w:r w:rsidRPr="00F832D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32DC">
        <w:rPr>
          <w:rFonts w:ascii="Times New Roman" w:hAnsi="Times New Roman"/>
          <w:bCs/>
          <w:sz w:val="24"/>
          <w:szCs w:val="24"/>
        </w:rPr>
        <w:t>потребне</w:t>
      </w:r>
      <w:proofErr w:type="spellEnd"/>
      <w:r w:rsidRPr="00F832D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32DC">
        <w:rPr>
          <w:rFonts w:ascii="Times New Roman" w:hAnsi="Times New Roman"/>
          <w:bCs/>
          <w:sz w:val="24"/>
          <w:szCs w:val="24"/>
        </w:rPr>
        <w:t>подршке</w:t>
      </w:r>
      <w:proofErr w:type="spellEnd"/>
      <w:r w:rsidRPr="00F832DC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832DC">
        <w:rPr>
          <w:rFonts w:ascii="Times New Roman" w:hAnsi="Times New Roman"/>
          <w:bCs/>
          <w:sz w:val="24"/>
          <w:szCs w:val="24"/>
        </w:rPr>
        <w:t>услове</w:t>
      </w:r>
      <w:proofErr w:type="spellEnd"/>
      <w:r w:rsidRPr="00F832D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32DC">
        <w:rPr>
          <w:rFonts w:ascii="Times New Roman" w:hAnsi="Times New Roman"/>
          <w:bCs/>
          <w:sz w:val="24"/>
          <w:szCs w:val="24"/>
        </w:rPr>
        <w:t>рада</w:t>
      </w:r>
      <w:proofErr w:type="spellEnd"/>
      <w:r w:rsidRPr="00F832DC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832DC">
        <w:rPr>
          <w:rFonts w:ascii="Times New Roman" w:hAnsi="Times New Roman"/>
          <w:bCs/>
          <w:sz w:val="24"/>
          <w:szCs w:val="24"/>
        </w:rPr>
        <w:t>материјале</w:t>
      </w:r>
      <w:proofErr w:type="spellEnd"/>
      <w:r w:rsidRPr="00F832DC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832DC">
        <w:rPr>
          <w:rFonts w:ascii="Times New Roman" w:hAnsi="Times New Roman"/>
          <w:bCs/>
          <w:sz w:val="24"/>
          <w:szCs w:val="24"/>
        </w:rPr>
        <w:t>доступне</w:t>
      </w:r>
      <w:proofErr w:type="spellEnd"/>
      <w:r w:rsidRPr="00F832D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32DC">
        <w:rPr>
          <w:rFonts w:ascii="Times New Roman" w:hAnsi="Times New Roman"/>
          <w:bCs/>
          <w:sz w:val="24"/>
          <w:szCs w:val="24"/>
        </w:rPr>
        <w:t>садржаје</w:t>
      </w:r>
      <w:proofErr w:type="spellEnd"/>
      <w:r w:rsidRPr="00F832D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32DC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Pr="00F832D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32DC">
        <w:rPr>
          <w:rFonts w:ascii="Times New Roman" w:hAnsi="Times New Roman"/>
          <w:bCs/>
          <w:sz w:val="24"/>
          <w:szCs w:val="24"/>
        </w:rPr>
        <w:t>рад</w:t>
      </w:r>
      <w:proofErr w:type="spellEnd"/>
      <w:r w:rsidRPr="00F832DC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832DC">
        <w:rPr>
          <w:rFonts w:ascii="Times New Roman" w:hAnsi="Times New Roman"/>
          <w:bCs/>
          <w:sz w:val="24"/>
          <w:szCs w:val="24"/>
        </w:rPr>
        <w:t>садржај</w:t>
      </w:r>
      <w:proofErr w:type="spellEnd"/>
      <w:r w:rsidRPr="00F832D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32DC">
        <w:rPr>
          <w:rFonts w:ascii="Times New Roman" w:hAnsi="Times New Roman"/>
          <w:bCs/>
          <w:sz w:val="24"/>
          <w:szCs w:val="24"/>
        </w:rPr>
        <w:t>рада</w:t>
      </w:r>
      <w:proofErr w:type="spellEnd"/>
      <w:r w:rsidRPr="00F832DC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832DC">
        <w:rPr>
          <w:rFonts w:ascii="Times New Roman" w:hAnsi="Times New Roman"/>
          <w:bCs/>
          <w:sz w:val="24"/>
          <w:szCs w:val="24"/>
        </w:rPr>
        <w:t>укључити</w:t>
      </w:r>
      <w:proofErr w:type="spellEnd"/>
      <w:r w:rsidRPr="00F832DC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F832DC">
        <w:rPr>
          <w:rFonts w:ascii="Times New Roman" w:hAnsi="Times New Roman"/>
          <w:bCs/>
          <w:sz w:val="24"/>
          <w:szCs w:val="24"/>
        </w:rPr>
        <w:t>вршњачко</w:t>
      </w:r>
      <w:proofErr w:type="spellEnd"/>
      <w:r w:rsidRPr="00F832D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32DC">
        <w:rPr>
          <w:rFonts w:ascii="Times New Roman" w:hAnsi="Times New Roman"/>
          <w:bCs/>
          <w:sz w:val="24"/>
          <w:szCs w:val="24"/>
        </w:rPr>
        <w:t>учење</w:t>
      </w:r>
      <w:proofErr w:type="spellEnd"/>
      <w:r w:rsidRPr="00F832DC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F832DC">
        <w:rPr>
          <w:rFonts w:ascii="Times New Roman" w:hAnsi="Times New Roman"/>
          <w:bCs/>
          <w:sz w:val="24"/>
          <w:szCs w:val="24"/>
        </w:rPr>
        <w:t>помоћ</w:t>
      </w:r>
      <w:proofErr w:type="spellEnd"/>
      <w:r w:rsidRPr="00F832D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32DC">
        <w:rPr>
          <w:rFonts w:ascii="Times New Roman" w:hAnsi="Times New Roman"/>
          <w:bCs/>
          <w:sz w:val="24"/>
          <w:szCs w:val="24"/>
        </w:rPr>
        <w:t>другова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5D4613" w:rsidRPr="006222B0" w:rsidRDefault="005D4613" w:rsidP="005D4613">
      <w:pPr>
        <w:spacing w:line="240" w:lineRule="auto"/>
        <w:ind w:right="-720"/>
        <w:jc w:val="both"/>
        <w:rPr>
          <w:rFonts w:ascii="Times New Roman" w:hAnsi="Times New Roman"/>
          <w:sz w:val="24"/>
          <w:szCs w:val="24"/>
          <w:lang w:eastAsia="sr-Latn-CS"/>
        </w:rPr>
      </w:pPr>
    </w:p>
    <w:p w:rsidR="00F209FB" w:rsidRDefault="00F209FB"/>
    <w:sectPr w:rsidR="00F209FB" w:rsidSect="000D33A2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4613"/>
    <w:rsid w:val="000D33A2"/>
    <w:rsid w:val="005D4613"/>
    <w:rsid w:val="006D3355"/>
    <w:rsid w:val="00F2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1073</Words>
  <Characters>6118</Characters>
  <Application>Microsoft Office Word</Application>
  <DocSecurity>0</DocSecurity>
  <Lines>50</Lines>
  <Paragraphs>14</Paragraphs>
  <ScaleCrop>false</ScaleCrop>
  <Company/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hpStamnica</dc:creator>
  <cp:lastModifiedBy>asus</cp:lastModifiedBy>
  <cp:revision>2</cp:revision>
  <dcterms:created xsi:type="dcterms:W3CDTF">2022-06-20T06:14:00Z</dcterms:created>
  <dcterms:modified xsi:type="dcterms:W3CDTF">2022-06-22T10:35:00Z</dcterms:modified>
</cp:coreProperties>
</file>